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2C56" w14:textId="77777777" w:rsidR="00182DD8" w:rsidRPr="00182DD8" w:rsidRDefault="00182DD8" w:rsidP="00D31ABB">
      <w:pPr>
        <w:jc w:val="both"/>
      </w:pPr>
      <w:proofErr w:type="spellStart"/>
      <w:r w:rsidRPr="00182DD8">
        <w:rPr>
          <w:b/>
          <w:bCs/>
        </w:rPr>
        <w:t>Kaidia</w:t>
      </w:r>
      <w:proofErr w:type="spellEnd"/>
      <w:r w:rsidRPr="00182DD8">
        <w:rPr>
          <w:b/>
          <w:bCs/>
        </w:rPr>
        <w:t xml:space="preserve"> OÜ privaatsuspoliitika</w:t>
      </w:r>
    </w:p>
    <w:p w14:paraId="73B48FDE" w14:textId="77777777" w:rsidR="00182DD8" w:rsidRPr="00182DD8" w:rsidRDefault="00182DD8" w:rsidP="00D31ABB">
      <w:pPr>
        <w:jc w:val="both"/>
      </w:pPr>
      <w:r w:rsidRPr="00182DD8">
        <w:rPr>
          <w:b/>
          <w:bCs/>
        </w:rPr>
        <w:t>1. Üldsätted</w:t>
      </w:r>
    </w:p>
    <w:p w14:paraId="7100336D" w14:textId="77777777" w:rsidR="00182DD8" w:rsidRPr="00182DD8" w:rsidRDefault="00182DD8" w:rsidP="00D31ABB">
      <w:pPr>
        <w:jc w:val="both"/>
      </w:pPr>
      <w:r w:rsidRPr="00182DD8">
        <w:t xml:space="preserve">1.1. Käesolev privaatsuspoliitika kirjeldab, kuidas </w:t>
      </w:r>
      <w:proofErr w:type="spellStart"/>
      <w:r w:rsidRPr="00182DD8">
        <w:t>Kaidia</w:t>
      </w:r>
      <w:proofErr w:type="spellEnd"/>
      <w:r w:rsidRPr="00182DD8">
        <w:t xml:space="preserve"> OÜ kogub, kasutab, säilitab ja kaitseb füüsiliste isikute isikuandmeid.</w:t>
      </w:r>
    </w:p>
    <w:p w14:paraId="2FC1DF80" w14:textId="77777777" w:rsidR="00182DD8" w:rsidRPr="00182DD8" w:rsidRDefault="00182DD8" w:rsidP="00D31ABB">
      <w:pPr>
        <w:jc w:val="both"/>
      </w:pPr>
      <w:r w:rsidRPr="00182DD8">
        <w:t>1.2. Isikuandmete vastutav töötleja on:</w:t>
      </w:r>
    </w:p>
    <w:p w14:paraId="63AB7C06" w14:textId="77777777" w:rsidR="00BE3FA5" w:rsidRDefault="00BE3FA5" w:rsidP="00D31ABB">
      <w:pPr>
        <w:rPr>
          <w:lang w:eastAsia="et-EE"/>
        </w:rPr>
      </w:pPr>
      <w:proofErr w:type="spellStart"/>
      <w:r>
        <w:rPr>
          <w:b/>
          <w:bCs/>
        </w:rPr>
        <w:t>Kaidia</w:t>
      </w:r>
      <w:proofErr w:type="spellEnd"/>
      <w:r>
        <w:rPr>
          <w:b/>
          <w:bCs/>
        </w:rPr>
        <w:t xml:space="preserve"> OÜ</w:t>
      </w:r>
      <w:r>
        <w:br/>
        <w:t>Registrikood: 17228865</w:t>
      </w:r>
      <w:r>
        <w:br/>
        <w:t xml:space="preserve">E-post: </w:t>
      </w:r>
      <w:hyperlink r:id="rId7" w:tooltip="mailto:info@kaidia.ee" w:history="1">
        <w:r>
          <w:rPr>
            <w:rStyle w:val="Hyperlink"/>
          </w:rPr>
          <w:t>info@kaidia.ee</w:t>
        </w:r>
      </w:hyperlink>
      <w:r>
        <w:br/>
        <w:t>Veebileht: kaidia.ee</w:t>
      </w:r>
    </w:p>
    <w:p w14:paraId="5E187DAB" w14:textId="77777777" w:rsidR="00C23E43" w:rsidRDefault="00C23E43" w:rsidP="00D31ABB">
      <w:pPr>
        <w:jc w:val="both"/>
        <w:rPr>
          <w:lang w:eastAsia="et-EE"/>
        </w:rPr>
      </w:pPr>
      <w:r>
        <w:t xml:space="preserve">1.3. Privaatsuspoliitika kohaldub kõigile isikutele, kelle isikuandmeid </w:t>
      </w:r>
      <w:proofErr w:type="spellStart"/>
      <w:r>
        <w:t>Kaidia</w:t>
      </w:r>
      <w:proofErr w:type="spellEnd"/>
      <w:r>
        <w:t xml:space="preserve"> OÜ töötleb, sealhulgas klientidele, koolitustel ja töötubades osalejatele, karjäärinõustamise teenuse kasutajatele, veebilehe külastajatele, koostööpartnerite esindajatele ning teistele isikutele, kes võtavad </w:t>
      </w:r>
      <w:proofErr w:type="spellStart"/>
      <w:r>
        <w:t>Kaidia</w:t>
      </w:r>
      <w:proofErr w:type="spellEnd"/>
      <w:r>
        <w:t xml:space="preserve"> OÜ-ga ühendust.</w:t>
      </w:r>
    </w:p>
    <w:p w14:paraId="0B16CF6F" w14:textId="77777777" w:rsidR="009761E3" w:rsidRDefault="009761E3" w:rsidP="00D31ABB">
      <w:pPr>
        <w:jc w:val="both"/>
        <w:rPr>
          <w:lang w:eastAsia="et-EE"/>
        </w:rPr>
      </w:pPr>
      <w:r>
        <w:t xml:space="preserve">1.4. </w:t>
      </w:r>
      <w:proofErr w:type="spellStart"/>
      <w:r>
        <w:t>Kaidia</w:t>
      </w:r>
      <w:proofErr w:type="spellEnd"/>
      <w:r>
        <w:t xml:space="preserve"> OÜ töötleb isikuandmeid kooskõlas Euroopa Liidu isikuandmete kaitse </w:t>
      </w:r>
      <w:proofErr w:type="spellStart"/>
      <w:r>
        <w:t>üldmääruse</w:t>
      </w:r>
      <w:proofErr w:type="spellEnd"/>
      <w:r>
        <w:t xml:space="preserve"> (GDPR), Eesti Vabariigi isikuandmete kaitse seaduse ning muude kohaldatavate õigusaktidega.</w:t>
      </w:r>
    </w:p>
    <w:p w14:paraId="56245B68" w14:textId="77777777" w:rsidR="00D00A6E" w:rsidRDefault="00D00A6E" w:rsidP="00D31ABB">
      <w:pPr>
        <w:jc w:val="both"/>
        <w:rPr>
          <w:lang w:eastAsia="et-EE"/>
        </w:rPr>
      </w:pPr>
      <w:r>
        <w:t xml:space="preserve">1.5. Kui isikuandmete esitamine on lepingu sõlmimiseks või teenuse osutamiseks vajalik, võib nõutavate andmete esitamata jätmine takistada </w:t>
      </w:r>
      <w:proofErr w:type="spellStart"/>
      <w:r>
        <w:t>Kaidia</w:t>
      </w:r>
      <w:proofErr w:type="spellEnd"/>
      <w:r>
        <w:t xml:space="preserve"> OÜ-l teenuse osutamist või päringule vastamist.</w:t>
      </w:r>
    </w:p>
    <w:p w14:paraId="0EF48E40" w14:textId="77777777" w:rsidR="00D02FAF" w:rsidRDefault="00D02FAF" w:rsidP="00D31ABB">
      <w:pPr>
        <w:jc w:val="both"/>
        <w:rPr>
          <w:lang w:eastAsia="et-EE"/>
        </w:rPr>
      </w:pPr>
      <w:r>
        <w:rPr>
          <w:b/>
          <w:bCs/>
        </w:rPr>
        <w:t>2. Töödeldavad isikuandmed</w:t>
      </w:r>
    </w:p>
    <w:p w14:paraId="770EE693" w14:textId="77777777" w:rsidR="00C23E43" w:rsidRDefault="00C23E43" w:rsidP="00D31ABB">
      <w:pPr>
        <w:jc w:val="both"/>
        <w:rPr>
          <w:lang w:eastAsia="et-EE"/>
        </w:rPr>
      </w:pPr>
      <w:r>
        <w:t xml:space="preserve">2.1. </w:t>
      </w:r>
      <w:proofErr w:type="spellStart"/>
      <w:r>
        <w:t>Kaidia</w:t>
      </w:r>
      <w:proofErr w:type="spellEnd"/>
      <w:r>
        <w:t xml:space="preserve"> OÜ võib sõltuvalt teenusest ja suhtlusest andmesubjektiga töödelda järgmisi isikuandmeid:</w:t>
      </w:r>
    </w:p>
    <w:p w14:paraId="2E685C85" w14:textId="77777777" w:rsidR="00C23E43" w:rsidRDefault="00C23E43" w:rsidP="00D31ABB">
      <w:pPr>
        <w:pStyle w:val="ListParagraph"/>
        <w:numPr>
          <w:ilvl w:val="0"/>
          <w:numId w:val="12"/>
        </w:numPr>
        <w:jc w:val="both"/>
        <w:rPr>
          <w:lang w:eastAsia="et-EE"/>
        </w:rPr>
      </w:pPr>
      <w:r>
        <w:t>ees- ja perekonnanimi;</w:t>
      </w:r>
    </w:p>
    <w:p w14:paraId="74B21907" w14:textId="77777777" w:rsidR="00C23E43" w:rsidRDefault="00C23E43" w:rsidP="00D31ABB">
      <w:pPr>
        <w:pStyle w:val="ListParagraph"/>
        <w:numPr>
          <w:ilvl w:val="0"/>
          <w:numId w:val="12"/>
        </w:numPr>
        <w:jc w:val="both"/>
      </w:pPr>
      <w:r>
        <w:t>isikukood, kui see on vajalik seadusest tulenevate kohustuste täitmiseks;</w:t>
      </w:r>
    </w:p>
    <w:p w14:paraId="6F772304" w14:textId="77777777" w:rsidR="00C23E43" w:rsidRDefault="00C23E43" w:rsidP="00D31ABB">
      <w:pPr>
        <w:pStyle w:val="ListParagraph"/>
        <w:numPr>
          <w:ilvl w:val="0"/>
          <w:numId w:val="12"/>
        </w:numPr>
        <w:jc w:val="both"/>
      </w:pPr>
      <w:r>
        <w:t>e-posti aadress;</w:t>
      </w:r>
    </w:p>
    <w:p w14:paraId="48874BDC" w14:textId="77777777" w:rsidR="00C23E43" w:rsidRDefault="00C23E43" w:rsidP="00D31ABB">
      <w:pPr>
        <w:pStyle w:val="ListParagraph"/>
        <w:numPr>
          <w:ilvl w:val="0"/>
          <w:numId w:val="12"/>
        </w:numPr>
        <w:jc w:val="both"/>
      </w:pPr>
      <w:r>
        <w:t>telefoninumber;</w:t>
      </w:r>
    </w:p>
    <w:p w14:paraId="0976170F" w14:textId="77777777" w:rsidR="00C23E43" w:rsidRDefault="00C23E43" w:rsidP="00D31ABB">
      <w:pPr>
        <w:pStyle w:val="ListParagraph"/>
        <w:numPr>
          <w:ilvl w:val="0"/>
          <w:numId w:val="12"/>
        </w:numPr>
        <w:jc w:val="both"/>
      </w:pPr>
      <w:r>
        <w:t>tööalane ja hariduslik taust;</w:t>
      </w:r>
    </w:p>
    <w:p w14:paraId="125F4FA7" w14:textId="77777777" w:rsidR="00C23E43" w:rsidRDefault="00C23E43" w:rsidP="00D31ABB">
      <w:pPr>
        <w:pStyle w:val="ListParagraph"/>
        <w:numPr>
          <w:ilvl w:val="0"/>
          <w:numId w:val="12"/>
        </w:numPr>
        <w:jc w:val="both"/>
      </w:pPr>
      <w:r>
        <w:t>CV ja kandideerimisega seotud andmed;</w:t>
      </w:r>
    </w:p>
    <w:p w14:paraId="6D7F6BCB" w14:textId="77777777" w:rsidR="00C23E43" w:rsidRDefault="00C23E43" w:rsidP="00D31ABB">
      <w:pPr>
        <w:pStyle w:val="ListParagraph"/>
        <w:numPr>
          <w:ilvl w:val="0"/>
          <w:numId w:val="12"/>
        </w:numPr>
        <w:jc w:val="both"/>
      </w:pPr>
      <w:r>
        <w:t>LinkedIni või teiste professionaalsete veebikeskkondade kasutajakonto teave;</w:t>
      </w:r>
    </w:p>
    <w:p w14:paraId="4C573871" w14:textId="77777777" w:rsidR="00C23E43" w:rsidRDefault="00C23E43" w:rsidP="00D31ABB">
      <w:pPr>
        <w:pStyle w:val="ListParagraph"/>
        <w:numPr>
          <w:ilvl w:val="0"/>
          <w:numId w:val="12"/>
        </w:numPr>
        <w:jc w:val="both"/>
      </w:pPr>
      <w:r>
        <w:t>töökogemus, oskused ja täiendkoolitused;</w:t>
      </w:r>
    </w:p>
    <w:p w14:paraId="491D1DE4" w14:textId="77777777" w:rsidR="00C23E43" w:rsidRDefault="00C23E43" w:rsidP="00D31ABB">
      <w:pPr>
        <w:pStyle w:val="ListParagraph"/>
        <w:numPr>
          <w:ilvl w:val="0"/>
          <w:numId w:val="12"/>
        </w:numPr>
        <w:jc w:val="both"/>
      </w:pPr>
      <w:r>
        <w:t>karjäärieelistused ja ootused tööle;</w:t>
      </w:r>
    </w:p>
    <w:p w14:paraId="7D10A1AB" w14:textId="77777777" w:rsidR="00C23E43" w:rsidRDefault="00C23E43" w:rsidP="00D31ABB">
      <w:pPr>
        <w:pStyle w:val="ListParagraph"/>
        <w:numPr>
          <w:ilvl w:val="0"/>
          <w:numId w:val="12"/>
        </w:numPr>
        <w:jc w:val="both"/>
      </w:pPr>
      <w:r>
        <w:t>koolitustel osalemise teave;</w:t>
      </w:r>
    </w:p>
    <w:p w14:paraId="02172844" w14:textId="77777777" w:rsidR="00C23E43" w:rsidRDefault="00C23E43" w:rsidP="00D31ABB">
      <w:pPr>
        <w:pStyle w:val="ListParagraph"/>
        <w:numPr>
          <w:ilvl w:val="0"/>
          <w:numId w:val="12"/>
        </w:numPr>
        <w:jc w:val="both"/>
      </w:pPr>
      <w:r>
        <w:t>teenuste kasutamise ajalugu;</w:t>
      </w:r>
    </w:p>
    <w:p w14:paraId="4D707804" w14:textId="77777777" w:rsidR="00C23E43" w:rsidRDefault="00C23E43" w:rsidP="00D31ABB">
      <w:pPr>
        <w:pStyle w:val="ListParagraph"/>
        <w:numPr>
          <w:ilvl w:val="0"/>
          <w:numId w:val="12"/>
        </w:numPr>
        <w:jc w:val="both"/>
      </w:pPr>
      <w:r>
        <w:t>tagasiside ja rahuloluküsitluste vastused;</w:t>
      </w:r>
    </w:p>
    <w:p w14:paraId="6EB91DF3" w14:textId="77777777" w:rsidR="00C23E43" w:rsidRDefault="00C23E43" w:rsidP="00D31ABB">
      <w:pPr>
        <w:pStyle w:val="ListParagraph"/>
        <w:numPr>
          <w:ilvl w:val="0"/>
          <w:numId w:val="12"/>
        </w:numPr>
        <w:jc w:val="both"/>
      </w:pPr>
      <w:r>
        <w:t>veebilehe kasutamise tehnilised andmed;</w:t>
      </w:r>
    </w:p>
    <w:p w14:paraId="4EBEE4B8" w14:textId="5727EC0A" w:rsidR="00C23E43" w:rsidRDefault="00C23E43" w:rsidP="00D31ABB">
      <w:pPr>
        <w:pStyle w:val="ListParagraph"/>
        <w:numPr>
          <w:ilvl w:val="0"/>
          <w:numId w:val="12"/>
        </w:numPr>
        <w:jc w:val="both"/>
      </w:pPr>
      <w:r>
        <w:t>küpsiste ja analüü</w:t>
      </w:r>
      <w:r w:rsidR="00B46489">
        <w:t>si</w:t>
      </w:r>
      <w:r>
        <w:t xml:space="preserve"> kaudu kogutavad andmed.</w:t>
      </w:r>
    </w:p>
    <w:p w14:paraId="4834A971" w14:textId="77777777" w:rsidR="00C23E43" w:rsidRDefault="00C23E43" w:rsidP="00D31ABB">
      <w:pPr>
        <w:jc w:val="both"/>
        <w:rPr>
          <w:lang w:eastAsia="et-EE"/>
        </w:rPr>
      </w:pPr>
      <w:r>
        <w:lastRenderedPageBreak/>
        <w:t xml:space="preserve">2.2. </w:t>
      </w:r>
      <w:proofErr w:type="spellStart"/>
      <w:r>
        <w:t>Kaidia</w:t>
      </w:r>
      <w:proofErr w:type="spellEnd"/>
      <w:r>
        <w:t xml:space="preserve"> OÜ ei kogu üldjuhul eriliigilisi isikuandmeid, näiteks terviseandmeid. Kui selliste andmete töötlemine on teenuse osutamiseks vältimatult vajalik, toimub see üksnes asjakohasel õiguslikul alusel ja minimaalsuse põhimõtet järgides.</w:t>
      </w:r>
    </w:p>
    <w:p w14:paraId="16A1DFBD" w14:textId="77777777" w:rsidR="00182DD8" w:rsidRPr="00182DD8" w:rsidRDefault="00182DD8" w:rsidP="00D31ABB">
      <w:pPr>
        <w:jc w:val="both"/>
      </w:pPr>
      <w:r w:rsidRPr="00182DD8">
        <w:rPr>
          <w:b/>
          <w:bCs/>
        </w:rPr>
        <w:t>3. Isikuandmete kogumise allikad</w:t>
      </w:r>
    </w:p>
    <w:p w14:paraId="4E5DE6D2" w14:textId="77777777" w:rsidR="00C23E43" w:rsidRDefault="00C23E43" w:rsidP="00D31ABB">
      <w:pPr>
        <w:jc w:val="both"/>
        <w:rPr>
          <w:lang w:eastAsia="et-EE"/>
        </w:rPr>
      </w:pPr>
      <w:r>
        <w:t xml:space="preserve">3.1. </w:t>
      </w:r>
      <w:proofErr w:type="spellStart"/>
      <w:r>
        <w:t>Kaidia</w:t>
      </w:r>
      <w:proofErr w:type="spellEnd"/>
      <w:r>
        <w:t xml:space="preserve"> OÜ kogub isikuandmeid eelkõige järgmistest allikatest:</w:t>
      </w:r>
    </w:p>
    <w:p w14:paraId="6D468277" w14:textId="77777777" w:rsidR="00C23E43" w:rsidRDefault="00C23E43" w:rsidP="00D31ABB">
      <w:pPr>
        <w:pStyle w:val="ListParagraph"/>
        <w:numPr>
          <w:ilvl w:val="0"/>
          <w:numId w:val="13"/>
        </w:numPr>
        <w:jc w:val="both"/>
        <w:rPr>
          <w:lang w:eastAsia="et-EE"/>
        </w:rPr>
      </w:pPr>
      <w:r>
        <w:t>andmesubjektilt endalt;</w:t>
      </w:r>
    </w:p>
    <w:p w14:paraId="4507FCB4" w14:textId="77777777" w:rsidR="00C23E43" w:rsidRDefault="00C23E43" w:rsidP="00D31ABB">
      <w:pPr>
        <w:pStyle w:val="ListParagraph"/>
        <w:numPr>
          <w:ilvl w:val="0"/>
          <w:numId w:val="13"/>
        </w:numPr>
        <w:jc w:val="both"/>
      </w:pPr>
      <w:r>
        <w:t>teenuste kasutamise käigus;</w:t>
      </w:r>
    </w:p>
    <w:p w14:paraId="5E765E54" w14:textId="77777777" w:rsidR="00C23E43" w:rsidRDefault="00C23E43" w:rsidP="00D31ABB">
      <w:pPr>
        <w:pStyle w:val="ListParagraph"/>
        <w:numPr>
          <w:ilvl w:val="0"/>
          <w:numId w:val="13"/>
        </w:numPr>
        <w:jc w:val="both"/>
      </w:pPr>
      <w:r>
        <w:t>veebilehe kasutamisel;</w:t>
      </w:r>
    </w:p>
    <w:p w14:paraId="7E0DADA7" w14:textId="77777777" w:rsidR="00C23E43" w:rsidRDefault="00C23E43" w:rsidP="00D31ABB">
      <w:pPr>
        <w:pStyle w:val="ListParagraph"/>
        <w:numPr>
          <w:ilvl w:val="0"/>
          <w:numId w:val="13"/>
        </w:numPr>
        <w:jc w:val="both"/>
      </w:pPr>
      <w:r>
        <w:t>avalikult kättesaadavatest allikatest, näiteks LinkedInist;</w:t>
      </w:r>
    </w:p>
    <w:p w14:paraId="6DCBEA82" w14:textId="77777777" w:rsidR="00C23E43" w:rsidRDefault="00C23E43" w:rsidP="00D31ABB">
      <w:pPr>
        <w:pStyle w:val="ListParagraph"/>
        <w:numPr>
          <w:ilvl w:val="0"/>
          <w:numId w:val="13"/>
        </w:numPr>
        <w:jc w:val="both"/>
      </w:pPr>
      <w:r>
        <w:t>klientide või koostööpartnerite edastatud andmetest;</w:t>
      </w:r>
    </w:p>
    <w:p w14:paraId="42F06D65" w14:textId="1143AE3E" w:rsidR="00C23E43" w:rsidRDefault="00C23E43" w:rsidP="00D31ABB">
      <w:pPr>
        <w:pStyle w:val="ListParagraph"/>
        <w:numPr>
          <w:ilvl w:val="0"/>
          <w:numId w:val="13"/>
        </w:numPr>
        <w:jc w:val="both"/>
      </w:pPr>
      <w:r>
        <w:t>turundusplatvormide kaudu.</w:t>
      </w:r>
    </w:p>
    <w:p w14:paraId="1C582D68" w14:textId="77777777" w:rsidR="00B75FA1" w:rsidRDefault="00B75FA1">
      <w:pPr>
        <w:jc w:val="both"/>
        <w:rPr>
          <w:lang w:eastAsia="et-EE"/>
        </w:rPr>
      </w:pPr>
      <w:r>
        <w:t xml:space="preserve">3.2. Kui </w:t>
      </w:r>
      <w:proofErr w:type="spellStart"/>
      <w:r>
        <w:t>Kaidia</w:t>
      </w:r>
      <w:proofErr w:type="spellEnd"/>
      <w:r>
        <w:t xml:space="preserve"> OÜ ei kogu isikuandmeid otse andmesubjektilt, annab ta andmesubjektile tema isikuandmete töötlemise kohta seadusega nõutava teabe mõistliku aja jooksul, välja arvatud juhul, kui kohaldatavatest õigusaktidest tuleneb teisiti.</w:t>
      </w:r>
    </w:p>
    <w:p w14:paraId="4E9225B0" w14:textId="77777777" w:rsidR="00182DD8" w:rsidRPr="00182DD8" w:rsidRDefault="00182DD8" w:rsidP="00D31ABB">
      <w:pPr>
        <w:jc w:val="both"/>
      </w:pPr>
      <w:r w:rsidRPr="00182DD8">
        <w:rPr>
          <w:b/>
          <w:bCs/>
        </w:rPr>
        <w:t>4. Isikuandmete töötlemise eesmärgid ja õiguslikud alused</w:t>
      </w:r>
    </w:p>
    <w:p w14:paraId="782FBDA4" w14:textId="77777777" w:rsidR="009761E3" w:rsidRDefault="009761E3" w:rsidP="00D31ABB">
      <w:pPr>
        <w:jc w:val="both"/>
        <w:rPr>
          <w:lang w:eastAsia="et-EE"/>
        </w:rPr>
      </w:pPr>
      <w:r>
        <w:t xml:space="preserve">4.1. </w:t>
      </w:r>
      <w:proofErr w:type="spellStart"/>
      <w:r>
        <w:t>Kaidia</w:t>
      </w:r>
      <w:proofErr w:type="spellEnd"/>
      <w:r>
        <w:t xml:space="preserve"> OÜ töötleb isikuandmeid järgmistel eesmärkidel: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99"/>
        <w:gridCol w:w="3140"/>
        <w:gridCol w:w="2267"/>
      </w:tblGrid>
      <w:tr w:rsidR="00182DD8" w14:paraId="77DC6E89" w14:textId="77777777">
        <w:trPr>
          <w:tblCellSpacing w:w="15" w:type="dxa"/>
        </w:trPr>
        <w:tc>
          <w:tcPr>
            <w:tcW w:w="2000" w:type="pct"/>
            <w:tcBorders>
              <w:top w:val="single" w:sz="8" w:space="0" w:color="000000"/>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6FD527EE" w14:textId="77777777" w:rsidR="00182DD8" w:rsidRDefault="00182DD8" w:rsidP="00D31ABB">
            <w:pPr>
              <w:jc w:val="both"/>
              <w:rPr>
                <w:lang w:eastAsia="et-EE"/>
              </w:rPr>
            </w:pPr>
            <w:r>
              <w:rPr>
                <w:b/>
                <w:bCs/>
              </w:rPr>
              <w:t>Töötlemise eesmärk</w:t>
            </w:r>
          </w:p>
        </w:tc>
        <w:tc>
          <w:tcPr>
            <w:tcW w:w="1750" w:type="pct"/>
            <w:tcBorders>
              <w:top w:val="single" w:sz="8" w:space="0" w:color="000000"/>
              <w:left w:val="nil"/>
              <w:bottom w:val="single" w:sz="8" w:space="0" w:color="000000"/>
              <w:right w:val="single" w:sz="8" w:space="0" w:color="000000"/>
            </w:tcBorders>
            <w:tcMar>
              <w:top w:w="120" w:type="dxa"/>
              <w:left w:w="180" w:type="dxa"/>
              <w:bottom w:w="120" w:type="dxa"/>
              <w:right w:w="180" w:type="dxa"/>
            </w:tcMar>
            <w:vAlign w:val="center"/>
            <w:hideMark/>
          </w:tcPr>
          <w:p w14:paraId="5F69B811" w14:textId="77777777" w:rsidR="00182DD8" w:rsidRDefault="00182DD8" w:rsidP="00D31ABB">
            <w:pPr>
              <w:jc w:val="both"/>
            </w:pPr>
            <w:r>
              <w:rPr>
                <w:b/>
                <w:bCs/>
              </w:rPr>
              <w:t>Töödeldavad andmed</w:t>
            </w:r>
          </w:p>
        </w:tc>
        <w:tc>
          <w:tcPr>
            <w:tcW w:w="1250" w:type="pct"/>
            <w:tcBorders>
              <w:top w:val="single" w:sz="8" w:space="0" w:color="000000"/>
              <w:left w:val="nil"/>
              <w:bottom w:val="single" w:sz="8" w:space="0" w:color="000000"/>
              <w:right w:val="single" w:sz="8" w:space="0" w:color="000000"/>
            </w:tcBorders>
            <w:tcMar>
              <w:top w:w="120" w:type="dxa"/>
              <w:left w:w="180" w:type="dxa"/>
              <w:bottom w:w="120" w:type="dxa"/>
              <w:right w:w="180" w:type="dxa"/>
            </w:tcMar>
            <w:vAlign w:val="center"/>
            <w:hideMark/>
          </w:tcPr>
          <w:p w14:paraId="75C73F83" w14:textId="77777777" w:rsidR="00182DD8" w:rsidRDefault="00182DD8" w:rsidP="00D31ABB">
            <w:pPr>
              <w:jc w:val="both"/>
            </w:pPr>
            <w:r>
              <w:rPr>
                <w:b/>
                <w:bCs/>
              </w:rPr>
              <w:t>Õiguslik alus</w:t>
            </w:r>
          </w:p>
        </w:tc>
      </w:tr>
      <w:tr w:rsidR="00182DD8" w14:paraId="7FEF9321"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5E8977FA" w14:textId="77777777" w:rsidR="00182DD8" w:rsidRDefault="00182DD8" w:rsidP="005B3C70">
            <w:r>
              <w:t>Teenuste osutamine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5ACC958C" w14:textId="77777777" w:rsidR="00182DD8" w:rsidRDefault="00182DD8" w:rsidP="005B3C70">
            <w:r>
              <w:t>kontaktandmed, profiiliinfo, teenuse sisu</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759212FE" w14:textId="77777777" w:rsidR="00182DD8" w:rsidRDefault="00182DD8" w:rsidP="005B3C70">
            <w:r>
              <w:t>lepingu täitmine</w:t>
            </w:r>
          </w:p>
        </w:tc>
      </w:tr>
      <w:tr w:rsidR="00182DD8" w14:paraId="5E58CA3B"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24EC58BE" w14:textId="77777777" w:rsidR="00182DD8" w:rsidRDefault="00182DD8" w:rsidP="005B3C70">
            <w:r>
              <w:t>Koolituste ja töötubade korraldamine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1A153F53" w14:textId="77777777" w:rsidR="00182DD8" w:rsidRDefault="00182DD8" w:rsidP="005B3C70">
            <w:r>
              <w:t>osalemise info, kontaktandmed</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3C2B25E0" w14:textId="77777777" w:rsidR="00182DD8" w:rsidRDefault="00182DD8" w:rsidP="005B3C70">
            <w:r>
              <w:t>lepingu täitmine</w:t>
            </w:r>
          </w:p>
        </w:tc>
      </w:tr>
      <w:tr w:rsidR="00182DD8" w14:paraId="7B10500A"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0F531AB2" w14:textId="77777777" w:rsidR="00182DD8" w:rsidRDefault="00182DD8" w:rsidP="005B3C70">
            <w:r>
              <w:t>Arvete koostamine ja raamatupidamine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0233C94D" w14:textId="77777777" w:rsidR="00182DD8" w:rsidRDefault="00182DD8" w:rsidP="005B3C70">
            <w:r>
              <w:t>arveandmed</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17BE5003" w14:textId="77777777" w:rsidR="00182DD8" w:rsidRDefault="00182DD8" w:rsidP="005B3C70">
            <w:r>
              <w:t>juriidiline kohustus</w:t>
            </w:r>
          </w:p>
        </w:tc>
      </w:tr>
      <w:tr w:rsidR="00182DD8" w14:paraId="018DD3AE"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3BDB9561" w14:textId="77777777" w:rsidR="00182DD8" w:rsidRDefault="00182DD8" w:rsidP="005B3C70">
            <w:r>
              <w:t>Kliendisuhtlus</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71FE8CEB" w14:textId="77777777" w:rsidR="00182DD8" w:rsidRDefault="00182DD8" w:rsidP="005B3C70">
            <w:r>
              <w:t>kontaktandmed</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4D70F5AD" w14:textId="77777777" w:rsidR="00182DD8" w:rsidRDefault="00182DD8" w:rsidP="005B3C70">
            <w:r>
              <w:t>õigustatud huvi</w:t>
            </w:r>
          </w:p>
        </w:tc>
      </w:tr>
      <w:tr w:rsidR="00182DD8" w14:paraId="64AA8CA3"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38FE67EB" w14:textId="77777777" w:rsidR="00182DD8" w:rsidRDefault="00182DD8" w:rsidP="005B3C70">
            <w:r>
              <w:t>Teenuste arendamine ja kvaliteedi parandamine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12E57492" w14:textId="77777777" w:rsidR="00182DD8" w:rsidRDefault="00182DD8" w:rsidP="005B3C70">
            <w:r>
              <w:t>tagasiside, kasutusstatistika</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07B5CDF3" w14:textId="77777777" w:rsidR="00182DD8" w:rsidRDefault="00182DD8" w:rsidP="005B3C70">
            <w:r>
              <w:t>õigustatud huvi</w:t>
            </w:r>
          </w:p>
        </w:tc>
      </w:tr>
      <w:tr w:rsidR="00182DD8" w14:paraId="44153631"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7DE22D3E" w14:textId="77777777" w:rsidR="00182DD8" w:rsidRDefault="00182DD8" w:rsidP="005B3C70">
            <w:r>
              <w:t>Otseturundus olemasolevatele klientidele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68EE902B" w14:textId="77777777" w:rsidR="00182DD8" w:rsidRDefault="00182DD8" w:rsidP="005B3C70">
            <w:r>
              <w:t>e-posti aadress</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231DAA26" w14:textId="77777777" w:rsidR="00182DD8" w:rsidRDefault="00182DD8" w:rsidP="005B3C70">
            <w:r>
              <w:t>õigustatud huvi</w:t>
            </w:r>
          </w:p>
        </w:tc>
      </w:tr>
      <w:tr w:rsidR="00182DD8" w14:paraId="2C6EC2E9"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7CCCCD17" w14:textId="77777777" w:rsidR="00182DD8" w:rsidRDefault="00182DD8" w:rsidP="005B3C70">
            <w:r>
              <w:lastRenderedPageBreak/>
              <w:t>Uudiskirjade saatmine</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57E4DCA5" w14:textId="77777777" w:rsidR="00182DD8" w:rsidRDefault="00182DD8" w:rsidP="005B3C70">
            <w:r>
              <w:t>e-posti aadress</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01F1985C" w14:textId="77777777" w:rsidR="00182DD8" w:rsidRDefault="00182DD8" w:rsidP="005B3C70">
            <w:r>
              <w:t>nõusolek</w:t>
            </w:r>
          </w:p>
        </w:tc>
      </w:tr>
      <w:tr w:rsidR="00182DD8" w14:paraId="272CD70F" w14:textId="77777777">
        <w:trPr>
          <w:tblCellSpacing w:w="15" w:type="dxa"/>
        </w:trPr>
        <w:tc>
          <w:tcPr>
            <w:tcW w:w="2000" w:type="pct"/>
            <w:tcBorders>
              <w:top w:val="nil"/>
              <w:left w:val="single" w:sz="8" w:space="0" w:color="000000"/>
              <w:bottom w:val="single" w:sz="8" w:space="0" w:color="000000"/>
              <w:right w:val="single" w:sz="8" w:space="0" w:color="000000"/>
            </w:tcBorders>
            <w:tcMar>
              <w:top w:w="120" w:type="dxa"/>
              <w:left w:w="180" w:type="dxa"/>
              <w:bottom w:w="120" w:type="dxa"/>
              <w:right w:w="180" w:type="dxa"/>
            </w:tcMar>
            <w:vAlign w:val="center"/>
            <w:hideMark/>
          </w:tcPr>
          <w:p w14:paraId="3038350C" w14:textId="77777777" w:rsidR="00182DD8" w:rsidRDefault="00182DD8" w:rsidP="005B3C70">
            <w:proofErr w:type="spellStart"/>
            <w:r>
              <w:t>Veebianalüütika</w:t>
            </w:r>
            <w:proofErr w:type="spellEnd"/>
            <w:r>
              <w:t xml:space="preserve"> ja turundus</w:t>
            </w:r>
          </w:p>
        </w:tc>
        <w:tc>
          <w:tcPr>
            <w:tcW w:w="17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7757D404" w14:textId="77777777" w:rsidR="00182DD8" w:rsidRDefault="00182DD8" w:rsidP="005B3C70">
            <w:r>
              <w:t>küpsiste andmed</w:t>
            </w:r>
          </w:p>
        </w:tc>
        <w:tc>
          <w:tcPr>
            <w:tcW w:w="1250" w:type="pct"/>
            <w:tcBorders>
              <w:top w:val="nil"/>
              <w:left w:val="nil"/>
              <w:bottom w:val="single" w:sz="8" w:space="0" w:color="000000"/>
              <w:right w:val="single" w:sz="8" w:space="0" w:color="000000"/>
            </w:tcBorders>
            <w:tcMar>
              <w:top w:w="120" w:type="dxa"/>
              <w:left w:w="180" w:type="dxa"/>
              <w:bottom w:w="120" w:type="dxa"/>
              <w:right w:w="180" w:type="dxa"/>
            </w:tcMar>
            <w:vAlign w:val="center"/>
            <w:hideMark/>
          </w:tcPr>
          <w:p w14:paraId="7F6D824E" w14:textId="77777777" w:rsidR="00182DD8" w:rsidRDefault="00182DD8" w:rsidP="005B3C70">
            <w:r>
              <w:t>nõusolek</w:t>
            </w:r>
          </w:p>
        </w:tc>
      </w:tr>
    </w:tbl>
    <w:p w14:paraId="2B7B3846" w14:textId="77777777" w:rsidR="00D00A6E" w:rsidRDefault="00D00A6E" w:rsidP="00D31ABB">
      <w:pPr>
        <w:jc w:val="both"/>
        <w:rPr>
          <w:lang w:eastAsia="et-EE"/>
        </w:rPr>
      </w:pPr>
      <w:r>
        <w:t>4.2. Kui isikuandmete töötlemine põhineb nõusolekul, on andmesubjektil õigus nõusolek igal ajal tagasi võtta. Nõusoleku tagasivõtmine ei mõjuta enne tagasivõtmist toimunud töötlemise seaduslikkust.</w:t>
      </w:r>
    </w:p>
    <w:p w14:paraId="40A504C7" w14:textId="77777777" w:rsidR="004D3D38" w:rsidRDefault="004D3D38" w:rsidP="00D31ABB">
      <w:pPr>
        <w:jc w:val="both"/>
        <w:rPr>
          <w:lang w:eastAsia="et-EE"/>
        </w:rPr>
      </w:pPr>
      <w:r>
        <w:t xml:space="preserve">4.3. Kui </w:t>
      </w:r>
      <w:proofErr w:type="spellStart"/>
      <w:r>
        <w:t>Kaidia</w:t>
      </w:r>
      <w:proofErr w:type="spellEnd"/>
      <w:r>
        <w:t xml:space="preserve"> OÜ töötleb isikuandmeid õigustatud huvi alusel, lähtub ta eelkõige kliendisuhtluse haldamise, teenuste arendamise, teenuste kvaliteedi parandamise ning olemasolevatele klientidele sarnaste teenuste tutvustamise vajadusest. Enne sellist töötlemist hindab </w:t>
      </w:r>
      <w:proofErr w:type="spellStart"/>
      <w:r>
        <w:t>Kaidia</w:t>
      </w:r>
      <w:proofErr w:type="spellEnd"/>
      <w:r>
        <w:t xml:space="preserve"> OÜ, kas tema õigustatud huvi ei kaalu üles andmesubjekti põhiõigusi ja -vabadusi. Andmesubjektil on õigus esitada oma isikuandmete sellisele töötlemisele vastuväiteid, kui selleks on tema olukorrast tulenev põhjus, ning otseturunduse puhul igal ajal.</w:t>
      </w:r>
    </w:p>
    <w:p w14:paraId="734F50E9" w14:textId="77777777" w:rsidR="00182DD8" w:rsidRPr="00182DD8" w:rsidRDefault="00182DD8" w:rsidP="00D31ABB">
      <w:pPr>
        <w:jc w:val="both"/>
      </w:pPr>
      <w:r w:rsidRPr="00182DD8">
        <w:rPr>
          <w:b/>
          <w:bCs/>
        </w:rPr>
        <w:t>5. Profileerimine ja automatiseeritud otsused</w:t>
      </w:r>
    </w:p>
    <w:p w14:paraId="7A5BFB0F" w14:textId="77777777" w:rsidR="004D3D38" w:rsidRDefault="004D3D38" w:rsidP="00D31ABB">
      <w:pPr>
        <w:jc w:val="both"/>
        <w:rPr>
          <w:lang w:eastAsia="et-EE"/>
        </w:rPr>
      </w:pPr>
      <w:r>
        <w:t xml:space="preserve">5.1. </w:t>
      </w:r>
      <w:proofErr w:type="spellStart"/>
      <w:r>
        <w:t>Kaidia</w:t>
      </w:r>
      <w:proofErr w:type="spellEnd"/>
      <w:r>
        <w:t xml:space="preserve"> OÜ võib teenuste osutamisel kasutada kliendi enda esitatud andmete, näiteks töökogemuse, oskuste, huvide ja karjäärieelistuste põhjal tehtavat analüüsi, et pakkuda kliendile asjakohasemaid soovitusi ja arengusuundi. Selline analüüs on nõustava ja hinnangulise iseloomuga ning seda ei kasutata andmesubjekti suhtes siduvate otsuste tegemiseks.</w:t>
      </w:r>
    </w:p>
    <w:p w14:paraId="25DDA198" w14:textId="77777777" w:rsidR="00512632" w:rsidRDefault="00512632" w:rsidP="00D31ABB">
      <w:pPr>
        <w:jc w:val="both"/>
        <w:rPr>
          <w:lang w:eastAsia="et-EE"/>
        </w:rPr>
      </w:pPr>
      <w:r>
        <w:t xml:space="preserve">5.2. Selline töötlemine ei kujuta endast GDPR-i tähenduses automatiseeritud otsustamist. </w:t>
      </w:r>
      <w:proofErr w:type="spellStart"/>
      <w:r>
        <w:t>Kaidia</w:t>
      </w:r>
      <w:proofErr w:type="spellEnd"/>
      <w:r>
        <w:t xml:space="preserve"> OÜ ei tee üksnes automatiseeritud töötlusel põhinevaid otsuseid, millel oleks andmesubjektile õiguslik või muu oluline mõju.</w:t>
      </w:r>
    </w:p>
    <w:p w14:paraId="297A86B7" w14:textId="77777777" w:rsidR="00182DD8" w:rsidRPr="00182DD8" w:rsidRDefault="00182DD8" w:rsidP="00D31ABB">
      <w:pPr>
        <w:jc w:val="both"/>
      </w:pPr>
      <w:r w:rsidRPr="00182DD8">
        <w:rPr>
          <w:b/>
          <w:bCs/>
        </w:rPr>
        <w:t>6. Isikuandmete säilitamine</w:t>
      </w:r>
    </w:p>
    <w:p w14:paraId="5B966886" w14:textId="77777777" w:rsidR="009761E3" w:rsidRDefault="009761E3" w:rsidP="00D31ABB">
      <w:pPr>
        <w:jc w:val="both"/>
        <w:rPr>
          <w:lang w:eastAsia="et-EE"/>
        </w:rPr>
      </w:pPr>
      <w:r>
        <w:t xml:space="preserve">6.1. </w:t>
      </w:r>
      <w:proofErr w:type="spellStart"/>
      <w:r>
        <w:t>Kaidia</w:t>
      </w:r>
      <w:proofErr w:type="spellEnd"/>
      <w:r>
        <w:t xml:space="preserve"> OÜ säilitab isikuandmeid üksnes nii kaua, kui see on vajalik töötlemise eesmärkide saavutamiseks või õigusaktidest tulenevate kohustuste täitmiseks.</w:t>
      </w:r>
    </w:p>
    <w:p w14:paraId="03873BE7" w14:textId="77777777" w:rsidR="00512632" w:rsidRDefault="00512632" w:rsidP="00D31ABB">
      <w:pPr>
        <w:jc w:val="both"/>
        <w:rPr>
          <w:lang w:eastAsia="et-EE"/>
        </w:rPr>
      </w:pPr>
      <w:r>
        <w:t xml:space="preserve">6.2. Isikuandmete säilitamisel lähtub </w:t>
      </w:r>
      <w:proofErr w:type="spellStart"/>
      <w:r>
        <w:t>Kaidia</w:t>
      </w:r>
      <w:proofErr w:type="spellEnd"/>
      <w:r>
        <w:t xml:space="preserve"> OÜ järgmistest üldistest tähtaegadest:</w:t>
      </w:r>
    </w:p>
    <w:p w14:paraId="571646DD" w14:textId="77777777" w:rsidR="00C23E43" w:rsidRDefault="00C23E43" w:rsidP="00D31ABB">
      <w:pPr>
        <w:pStyle w:val="ListParagraph"/>
        <w:numPr>
          <w:ilvl w:val="0"/>
          <w:numId w:val="14"/>
        </w:numPr>
        <w:jc w:val="both"/>
        <w:rPr>
          <w:lang w:eastAsia="et-EE"/>
        </w:rPr>
      </w:pPr>
      <w:r>
        <w:t>raamatupidamisdokumendid säilitatakse 7 aastat;</w:t>
      </w:r>
    </w:p>
    <w:p w14:paraId="0CA96F6B" w14:textId="77777777" w:rsidR="00C23E43" w:rsidRDefault="00C23E43" w:rsidP="00D31ABB">
      <w:pPr>
        <w:pStyle w:val="ListParagraph"/>
        <w:numPr>
          <w:ilvl w:val="0"/>
          <w:numId w:val="14"/>
        </w:numPr>
        <w:jc w:val="both"/>
      </w:pPr>
      <w:r>
        <w:t>kliendisuhtlusega seotud andmeid säilitatakse kuni 3 aastat pärast viimast kontakti;</w:t>
      </w:r>
    </w:p>
    <w:p w14:paraId="5B241B42" w14:textId="77777777" w:rsidR="00C23E43" w:rsidRDefault="00C23E43" w:rsidP="00D31ABB">
      <w:pPr>
        <w:pStyle w:val="ListParagraph"/>
        <w:numPr>
          <w:ilvl w:val="0"/>
          <w:numId w:val="14"/>
        </w:numPr>
        <w:jc w:val="both"/>
      </w:pPr>
      <w:r>
        <w:t>koolituste ja teenuste osutamise andmeid säilitatakse kuni 5 aastat;</w:t>
      </w:r>
    </w:p>
    <w:p w14:paraId="1336A672" w14:textId="77777777" w:rsidR="00C23E43" w:rsidRDefault="00C23E43" w:rsidP="00D31ABB">
      <w:pPr>
        <w:pStyle w:val="ListParagraph"/>
        <w:numPr>
          <w:ilvl w:val="0"/>
          <w:numId w:val="14"/>
        </w:numPr>
        <w:jc w:val="both"/>
      </w:pPr>
      <w:r>
        <w:t>turundusnõusolekuid säilitatakse kuni nõusoleku tagasivõtmiseni;</w:t>
      </w:r>
    </w:p>
    <w:p w14:paraId="3C02FBC0" w14:textId="77777777" w:rsidR="00D11108" w:rsidRDefault="00D11108" w:rsidP="00D31ABB">
      <w:pPr>
        <w:pStyle w:val="ListParagraph"/>
        <w:numPr>
          <w:ilvl w:val="0"/>
          <w:numId w:val="14"/>
        </w:numPr>
        <w:jc w:val="both"/>
      </w:pPr>
      <w:proofErr w:type="spellStart"/>
      <w:r>
        <w:t>veebianalüütika</w:t>
      </w:r>
      <w:proofErr w:type="spellEnd"/>
      <w:r>
        <w:t xml:space="preserve"> andmeid säilitatakse nii kaua, kui on määratud kasutatava </w:t>
      </w:r>
      <w:proofErr w:type="spellStart"/>
      <w:r>
        <w:t>analüütikatööriista</w:t>
      </w:r>
      <w:proofErr w:type="spellEnd"/>
      <w:r>
        <w:t xml:space="preserve"> seadetes;</w:t>
      </w:r>
    </w:p>
    <w:p w14:paraId="7252AF4B" w14:textId="77777777" w:rsidR="00512632" w:rsidRDefault="00512632" w:rsidP="00D31ABB">
      <w:pPr>
        <w:jc w:val="both"/>
        <w:rPr>
          <w:lang w:eastAsia="et-EE"/>
        </w:rPr>
      </w:pPr>
      <w:r>
        <w:t>6.3. Kui säilitustähtaeg lõpeb, kustutatakse või anonüümitakse andmed turvaliselt.</w:t>
      </w:r>
    </w:p>
    <w:p w14:paraId="4A76F9D1" w14:textId="77777777" w:rsidR="00182DD8" w:rsidRPr="00182DD8" w:rsidRDefault="00182DD8" w:rsidP="00D31ABB">
      <w:pPr>
        <w:jc w:val="both"/>
      </w:pPr>
      <w:r w:rsidRPr="00182DD8">
        <w:rPr>
          <w:b/>
          <w:bCs/>
        </w:rPr>
        <w:lastRenderedPageBreak/>
        <w:t>7. Isikuandmete edastamine kolmandatele isikutele</w:t>
      </w:r>
    </w:p>
    <w:p w14:paraId="7FA89A45" w14:textId="77777777" w:rsidR="00B75FA1" w:rsidRDefault="00B75FA1">
      <w:pPr>
        <w:jc w:val="both"/>
        <w:rPr>
          <w:lang w:eastAsia="et-EE"/>
        </w:rPr>
      </w:pPr>
      <w:r>
        <w:t xml:space="preserve">7.1. </w:t>
      </w:r>
      <w:proofErr w:type="spellStart"/>
      <w:r>
        <w:t>Kaidia</w:t>
      </w:r>
      <w:proofErr w:type="spellEnd"/>
      <w:r>
        <w:t xml:space="preserve"> OÜ võib edastada isikuandmeid volitatud töötlejatele, lepingulistele koostööpartneritele või muudele saajatele üksnes ulatuses, mis on vajalik teenuse osutamiseks, õigustatud huvi alusel toimuvaks tegevuseks või õigusaktidest tulenevate kohustuste täitmiseks. Isikuandmeid võidakse edastada eelkõige järgmistele kolmandatele isikutele:</w:t>
      </w:r>
    </w:p>
    <w:p w14:paraId="151E4865" w14:textId="77777777" w:rsidR="00C23E43" w:rsidRDefault="00C23E43" w:rsidP="00D31ABB">
      <w:pPr>
        <w:pStyle w:val="ListParagraph"/>
        <w:numPr>
          <w:ilvl w:val="0"/>
          <w:numId w:val="15"/>
        </w:numPr>
        <w:jc w:val="both"/>
        <w:rPr>
          <w:lang w:eastAsia="et-EE"/>
        </w:rPr>
      </w:pPr>
      <w:r>
        <w:t>raamatupidamisteenuse osutajatele;</w:t>
      </w:r>
    </w:p>
    <w:p w14:paraId="45CC0A9B" w14:textId="77777777" w:rsidR="00C23E43" w:rsidRDefault="00C23E43" w:rsidP="00D31ABB">
      <w:pPr>
        <w:pStyle w:val="ListParagraph"/>
        <w:numPr>
          <w:ilvl w:val="0"/>
          <w:numId w:val="15"/>
        </w:numPr>
        <w:jc w:val="both"/>
      </w:pPr>
      <w:r>
        <w:t>IT- ja veebimajutusteenuse pakkujatele;</w:t>
      </w:r>
    </w:p>
    <w:p w14:paraId="3FBFB3D3" w14:textId="77777777" w:rsidR="00C23E43" w:rsidRDefault="00C23E43" w:rsidP="00D31ABB">
      <w:pPr>
        <w:pStyle w:val="ListParagraph"/>
        <w:numPr>
          <w:ilvl w:val="0"/>
          <w:numId w:val="15"/>
        </w:numPr>
        <w:jc w:val="both"/>
      </w:pPr>
      <w:r>
        <w:t>pilveteenuste pakkujatele;</w:t>
      </w:r>
    </w:p>
    <w:p w14:paraId="3862857D" w14:textId="77777777" w:rsidR="00C23E43" w:rsidRDefault="00C23E43" w:rsidP="00D31ABB">
      <w:pPr>
        <w:pStyle w:val="ListParagraph"/>
        <w:numPr>
          <w:ilvl w:val="0"/>
          <w:numId w:val="15"/>
        </w:numPr>
        <w:jc w:val="both"/>
      </w:pPr>
      <w:proofErr w:type="spellStart"/>
      <w:r>
        <w:t>analüütika</w:t>
      </w:r>
      <w:proofErr w:type="spellEnd"/>
      <w:r>
        <w:t>- ja turundusplatvormidele, näiteks Google'ile ja Metale;</w:t>
      </w:r>
    </w:p>
    <w:p w14:paraId="36A7CC1A" w14:textId="77777777" w:rsidR="00C23E43" w:rsidRDefault="00C23E43" w:rsidP="00D31ABB">
      <w:pPr>
        <w:pStyle w:val="ListParagraph"/>
        <w:numPr>
          <w:ilvl w:val="0"/>
          <w:numId w:val="15"/>
        </w:numPr>
        <w:jc w:val="both"/>
      </w:pPr>
      <w:r>
        <w:t>koolitus- ja koostööpartneritele.</w:t>
      </w:r>
    </w:p>
    <w:p w14:paraId="16C53C2B" w14:textId="77777777" w:rsidR="00D00A6E" w:rsidRDefault="00D00A6E" w:rsidP="00D31ABB">
      <w:pPr>
        <w:jc w:val="both"/>
        <w:rPr>
          <w:lang w:eastAsia="et-EE"/>
        </w:rPr>
      </w:pPr>
      <w:r>
        <w:t xml:space="preserve">7.2. </w:t>
      </w:r>
      <w:proofErr w:type="spellStart"/>
      <w:r>
        <w:t>Kaidia</w:t>
      </w:r>
      <w:proofErr w:type="spellEnd"/>
      <w:r>
        <w:t xml:space="preserve"> OÜ kasutab üksnes selliseid koostööpartnereid ja teenusepakkujaid, kes tagavad isikuandmete asjakohase kaitse ning töötlevad andmeid </w:t>
      </w:r>
      <w:proofErr w:type="spellStart"/>
      <w:r>
        <w:t>Kaidia</w:t>
      </w:r>
      <w:proofErr w:type="spellEnd"/>
      <w:r>
        <w:t xml:space="preserve"> OÜ juhiste, sõlmitud lepingute ja kohaldatavate õigusaktide alusel.</w:t>
      </w:r>
    </w:p>
    <w:p w14:paraId="3F3E578C" w14:textId="77777777" w:rsidR="00182DD8" w:rsidRPr="00182DD8" w:rsidRDefault="00182DD8" w:rsidP="00D31ABB">
      <w:pPr>
        <w:jc w:val="both"/>
      </w:pPr>
      <w:r w:rsidRPr="00182DD8">
        <w:rPr>
          <w:b/>
          <w:bCs/>
        </w:rPr>
        <w:t>8. Isikuandmete edastamine väljapoole Euroopa Majanduspiirkonda</w:t>
      </w:r>
    </w:p>
    <w:p w14:paraId="1A9265B8" w14:textId="77777777" w:rsidR="00D00A6E" w:rsidRDefault="00D00A6E" w:rsidP="00D31ABB">
      <w:pPr>
        <w:jc w:val="both"/>
        <w:rPr>
          <w:lang w:eastAsia="et-EE"/>
        </w:rPr>
      </w:pPr>
      <w:r>
        <w:t xml:space="preserve">8.1. Mõned </w:t>
      </w:r>
      <w:proofErr w:type="spellStart"/>
      <w:r>
        <w:t>Kaidia</w:t>
      </w:r>
      <w:proofErr w:type="spellEnd"/>
      <w:r>
        <w:t xml:space="preserve"> OÜ kasutatavad teenusepakkujad, sealhulgas pilve-, </w:t>
      </w:r>
      <w:proofErr w:type="spellStart"/>
      <w:r>
        <w:t>analüütika</w:t>
      </w:r>
      <w:proofErr w:type="spellEnd"/>
      <w:r>
        <w:t>- või turundusteenuste pakkujad, võivad töödelda isikuandmeid väljaspool Euroopa Majanduspiirkonda.</w:t>
      </w:r>
    </w:p>
    <w:p w14:paraId="57B2FC33" w14:textId="77777777" w:rsidR="004D3D38" w:rsidRDefault="004D3D38" w:rsidP="00D31ABB">
      <w:pPr>
        <w:jc w:val="both"/>
        <w:rPr>
          <w:lang w:eastAsia="et-EE"/>
        </w:rPr>
      </w:pPr>
      <w:r>
        <w:t xml:space="preserve">8.2. Sellisel juhul toimub isikuandmete edastamine üksnes juhul, kui Euroopa Komisjon on hinnanud sihtriigi andmekaitse taseme piisavaks või kui kasutatakse muid kohaldatavate õigusaktidega lubatud kaitsemeetmeid, sealhulgas Euroopa Komisjoni standardseid andmekaitseklausleid. Andmesubjektil on õigus küsida täiendavat teavet isikuandmete edastamise ning kasutatavate kaitsemeetmete kohta, võttes ühendust </w:t>
      </w:r>
      <w:proofErr w:type="spellStart"/>
      <w:r>
        <w:t>Kaidia</w:t>
      </w:r>
      <w:proofErr w:type="spellEnd"/>
      <w:r>
        <w:t xml:space="preserve"> OÜ-ga.</w:t>
      </w:r>
    </w:p>
    <w:p w14:paraId="39B49D5D" w14:textId="77777777" w:rsidR="00182DD8" w:rsidRPr="00182DD8" w:rsidRDefault="00182DD8" w:rsidP="00D31ABB">
      <w:pPr>
        <w:jc w:val="both"/>
      </w:pPr>
      <w:r w:rsidRPr="00182DD8">
        <w:rPr>
          <w:b/>
          <w:bCs/>
        </w:rPr>
        <w:t>9. Küpsised</w:t>
      </w:r>
    </w:p>
    <w:p w14:paraId="78F75E9B" w14:textId="77777777" w:rsidR="00D00A6E" w:rsidRDefault="00D00A6E" w:rsidP="00D31ABB">
      <w:pPr>
        <w:jc w:val="both"/>
        <w:rPr>
          <w:lang w:eastAsia="et-EE"/>
        </w:rPr>
      </w:pPr>
      <w:r>
        <w:t xml:space="preserve">9.1. </w:t>
      </w:r>
      <w:proofErr w:type="spellStart"/>
      <w:r>
        <w:t>Kaidia</w:t>
      </w:r>
      <w:proofErr w:type="spellEnd"/>
      <w:r>
        <w:t xml:space="preserve"> OÜ veebileht kasutab küpsiseid veebilehe toimimise tagamiseks, kasutuse analüüsimiseks, turunduse tulemuslikkuse mõõtmiseks ning kasutajale asjakohasema sisu pakkumiseks. Küpsised võivad olla vajalikud, analüütilised või turunduslikud.</w:t>
      </w:r>
    </w:p>
    <w:p w14:paraId="7434262B" w14:textId="77777777" w:rsidR="00B75FA1" w:rsidRDefault="00B75FA1">
      <w:pPr>
        <w:jc w:val="both"/>
        <w:rPr>
          <w:lang w:eastAsia="et-EE"/>
        </w:rPr>
      </w:pPr>
      <w:r>
        <w:t xml:space="preserve">9.2. Veebilehel võidakse kasutada ka kolmandate osapoolte teenuseid, mille kaudu seatakse analüütilisi või </w:t>
      </w:r>
      <w:proofErr w:type="spellStart"/>
      <w:r>
        <w:t>turunduslikke</w:t>
      </w:r>
      <w:proofErr w:type="spellEnd"/>
      <w:r>
        <w:t xml:space="preserve"> küpsiseid. Selliste teenuste kasutamine sõltub </w:t>
      </w:r>
      <w:proofErr w:type="spellStart"/>
      <w:r>
        <w:t>Kaidia</w:t>
      </w:r>
      <w:proofErr w:type="spellEnd"/>
      <w:r>
        <w:t xml:space="preserve"> OÜ veebilehe tehnilisest lahendusest ja kasutaja antud nõusolekust.</w:t>
      </w:r>
    </w:p>
    <w:p w14:paraId="7C0D6517" w14:textId="77777777" w:rsidR="004D3D38" w:rsidRDefault="004D3D38" w:rsidP="00D31ABB">
      <w:pPr>
        <w:jc w:val="both"/>
        <w:rPr>
          <w:lang w:eastAsia="et-EE"/>
        </w:rPr>
      </w:pPr>
      <w:r>
        <w:t xml:space="preserve">9.3. Veebilehe toimimiseks vajalikud küpsised ei eelda kasutaja nõusolekut. Muude kui veebilehe toimimiseks vajalike küpsiste, sealhulgas analüütiliste ja turundusküpsiste kasutamiseks küsitakse kasutajalt eelnevalt nõusolekut. Kasutajal on võimalik anda või jätta andmata nõusolek, muuta oma küpsise-eelistusi veebilehel kasutatava lahenduse </w:t>
      </w:r>
      <w:r>
        <w:lastRenderedPageBreak/>
        <w:t>kaudu, keelata küpsiste kasutamine veebilehitseja seadetes ning võtta tagasi varem antud nõusolek.</w:t>
      </w:r>
    </w:p>
    <w:p w14:paraId="5DF52C9A" w14:textId="77777777" w:rsidR="00182DD8" w:rsidRPr="00182DD8" w:rsidRDefault="00182DD8" w:rsidP="00D31ABB">
      <w:pPr>
        <w:jc w:val="both"/>
      </w:pPr>
      <w:r w:rsidRPr="00182DD8">
        <w:rPr>
          <w:b/>
          <w:bCs/>
        </w:rPr>
        <w:t>10. Andmesubjekti õigused</w:t>
      </w:r>
    </w:p>
    <w:p w14:paraId="0AEBFC52" w14:textId="77777777" w:rsidR="00D00A6E" w:rsidRDefault="00D00A6E" w:rsidP="00D31ABB">
      <w:pPr>
        <w:jc w:val="both"/>
        <w:rPr>
          <w:lang w:eastAsia="et-EE"/>
        </w:rPr>
      </w:pPr>
      <w:r>
        <w:t>10.1. Andmesubjektil on kohaldatavatest õigusaktidest tulenevalt järgmised õigused:</w:t>
      </w:r>
    </w:p>
    <w:p w14:paraId="2C40C2E5" w14:textId="77777777" w:rsidR="00D00A6E" w:rsidRDefault="00D00A6E" w:rsidP="00D31ABB">
      <w:pPr>
        <w:pStyle w:val="ListParagraph"/>
        <w:numPr>
          <w:ilvl w:val="0"/>
          <w:numId w:val="17"/>
        </w:numPr>
        <w:jc w:val="both"/>
        <w:rPr>
          <w:lang w:eastAsia="et-EE"/>
        </w:rPr>
      </w:pPr>
      <w:r>
        <w:t xml:space="preserve">saada teavet selle kohta, kuidas </w:t>
      </w:r>
      <w:proofErr w:type="spellStart"/>
      <w:r>
        <w:t>Kaidia</w:t>
      </w:r>
      <w:proofErr w:type="spellEnd"/>
      <w:r>
        <w:t xml:space="preserve"> OÜ tema isikuandmeid töötleb;</w:t>
      </w:r>
    </w:p>
    <w:p w14:paraId="4B81A5DB" w14:textId="77777777" w:rsidR="00D00A6E" w:rsidRDefault="00D00A6E" w:rsidP="00D31ABB">
      <w:pPr>
        <w:pStyle w:val="ListParagraph"/>
        <w:numPr>
          <w:ilvl w:val="0"/>
          <w:numId w:val="17"/>
        </w:numPr>
        <w:jc w:val="both"/>
      </w:pPr>
      <w:r>
        <w:t>tutvuda enda kohta töödeldavate isikuandmetega;</w:t>
      </w:r>
    </w:p>
    <w:p w14:paraId="47C49428" w14:textId="77777777" w:rsidR="00D00A6E" w:rsidRDefault="00D00A6E" w:rsidP="00D31ABB">
      <w:pPr>
        <w:pStyle w:val="ListParagraph"/>
        <w:numPr>
          <w:ilvl w:val="0"/>
          <w:numId w:val="17"/>
        </w:numPr>
        <w:jc w:val="both"/>
      </w:pPr>
      <w:r>
        <w:t>nõuda ebatäpsete või puudulike isikuandmete parandamist;</w:t>
      </w:r>
    </w:p>
    <w:p w14:paraId="5B7494F3" w14:textId="77777777" w:rsidR="00D00A6E" w:rsidRDefault="00D00A6E" w:rsidP="00D31ABB">
      <w:pPr>
        <w:pStyle w:val="ListParagraph"/>
        <w:numPr>
          <w:ilvl w:val="0"/>
          <w:numId w:val="17"/>
        </w:numPr>
        <w:jc w:val="both"/>
      </w:pPr>
      <w:r>
        <w:t>nõuda isikuandmete kustutamist õigusaktides sätestatud juhtudel;</w:t>
      </w:r>
    </w:p>
    <w:p w14:paraId="228326FD" w14:textId="77777777" w:rsidR="00D00A6E" w:rsidRDefault="00D00A6E" w:rsidP="00D31ABB">
      <w:pPr>
        <w:pStyle w:val="ListParagraph"/>
        <w:numPr>
          <w:ilvl w:val="0"/>
          <w:numId w:val="17"/>
        </w:numPr>
        <w:jc w:val="both"/>
      </w:pPr>
      <w:r>
        <w:t>nõuda isikuandmete töötlemise piiramist õigusaktides sätestatud juhtudel;</w:t>
      </w:r>
    </w:p>
    <w:p w14:paraId="1C7B834A" w14:textId="77777777" w:rsidR="00D00A6E" w:rsidRDefault="00D00A6E" w:rsidP="00D31ABB">
      <w:pPr>
        <w:pStyle w:val="ListParagraph"/>
        <w:numPr>
          <w:ilvl w:val="0"/>
          <w:numId w:val="17"/>
        </w:numPr>
        <w:jc w:val="both"/>
      </w:pPr>
      <w:r>
        <w:t>esitada vastuväiteid isikuandmete töötlemisele, kui töötlemine toimub õigustatud huvi alusel, sealhulgas otseturunduse eesmärgil;</w:t>
      </w:r>
    </w:p>
    <w:p w14:paraId="49687D62" w14:textId="77777777" w:rsidR="00D00A6E" w:rsidRDefault="00D00A6E" w:rsidP="00D31ABB">
      <w:pPr>
        <w:pStyle w:val="ListParagraph"/>
        <w:numPr>
          <w:ilvl w:val="0"/>
          <w:numId w:val="17"/>
        </w:numPr>
        <w:jc w:val="both"/>
      </w:pPr>
      <w:r>
        <w:t>saada teda puudutavad isikuandmed struktureeritud, üldkasutatavas ja masinloetavas vormis ning võimaluse korral edastada need teisele vastutavale töötlejale;</w:t>
      </w:r>
    </w:p>
    <w:p w14:paraId="489EE7BA" w14:textId="77777777" w:rsidR="00D00A6E" w:rsidRDefault="00D00A6E" w:rsidP="00D31ABB">
      <w:pPr>
        <w:pStyle w:val="ListParagraph"/>
        <w:numPr>
          <w:ilvl w:val="0"/>
          <w:numId w:val="17"/>
        </w:numPr>
        <w:jc w:val="both"/>
      </w:pPr>
      <w:r>
        <w:t>võtta tagasi isikuandmete töötlemiseks antud nõusolek, kui töötlemine põhineb nõusolekul;</w:t>
      </w:r>
    </w:p>
    <w:p w14:paraId="132C9D38" w14:textId="77777777" w:rsidR="00D00A6E" w:rsidRDefault="00D00A6E" w:rsidP="00D31ABB">
      <w:pPr>
        <w:pStyle w:val="ListParagraph"/>
        <w:numPr>
          <w:ilvl w:val="0"/>
          <w:numId w:val="17"/>
        </w:numPr>
        <w:jc w:val="both"/>
      </w:pPr>
      <w:r>
        <w:t>mitte olla üksnes automatiseeritud töötlusel põhineva otsuse objektiks, kui sellisel otsusel oleks tema jaoks õiguslik või muu oluline mõju;</w:t>
      </w:r>
    </w:p>
    <w:p w14:paraId="31982E3C" w14:textId="77777777" w:rsidR="00D00A6E" w:rsidRDefault="00D00A6E" w:rsidP="00D31ABB">
      <w:pPr>
        <w:pStyle w:val="ListParagraph"/>
        <w:numPr>
          <w:ilvl w:val="0"/>
          <w:numId w:val="17"/>
        </w:numPr>
        <w:jc w:val="both"/>
      </w:pPr>
      <w:r>
        <w:t>esitada kaebus Andmekaitse Inspektsioonile või pöörduda oma õiguste kaitseks kohtu poole.</w:t>
      </w:r>
    </w:p>
    <w:p w14:paraId="44157B61" w14:textId="77777777" w:rsidR="00D00A6E" w:rsidRDefault="00D00A6E" w:rsidP="00D31ABB">
      <w:pPr>
        <w:jc w:val="both"/>
        <w:rPr>
          <w:lang w:eastAsia="et-EE"/>
        </w:rPr>
      </w:pPr>
      <w:r>
        <w:t xml:space="preserve">10.2. Andmesubjekt võib oma õiguste kasutamiseks võtta </w:t>
      </w:r>
      <w:proofErr w:type="spellStart"/>
      <w:r>
        <w:t>Kaidia</w:t>
      </w:r>
      <w:proofErr w:type="spellEnd"/>
      <w:r>
        <w:t xml:space="preserve"> OÜ-ga ühendust aadressil </w:t>
      </w:r>
      <w:hyperlink r:id="rId8" w:tooltip="mailto:info@kaidia.ee" w:history="1">
        <w:r>
          <w:rPr>
            <w:rStyle w:val="Hyperlink"/>
          </w:rPr>
          <w:t>info@kaidia.ee</w:t>
        </w:r>
      </w:hyperlink>
      <w:r>
        <w:t xml:space="preserve">. </w:t>
      </w:r>
      <w:proofErr w:type="spellStart"/>
      <w:r>
        <w:t>Kaidia</w:t>
      </w:r>
      <w:proofErr w:type="spellEnd"/>
      <w:r>
        <w:t xml:space="preserve"> OÜ vastab taotlustele kohaldatavates õigusaktides sätestatud tähtaja jooksul.</w:t>
      </w:r>
    </w:p>
    <w:p w14:paraId="62238EA3" w14:textId="77777777" w:rsidR="00182DD8" w:rsidRPr="00182DD8" w:rsidRDefault="00182DD8" w:rsidP="00D31ABB">
      <w:pPr>
        <w:jc w:val="both"/>
      </w:pPr>
      <w:r w:rsidRPr="00182DD8">
        <w:rPr>
          <w:b/>
          <w:bCs/>
        </w:rPr>
        <w:t>11. Isikuandmete kaitse</w:t>
      </w:r>
    </w:p>
    <w:p w14:paraId="0E4EC4DE" w14:textId="77777777" w:rsidR="00512632" w:rsidRDefault="00512632" w:rsidP="00D31ABB">
      <w:pPr>
        <w:jc w:val="both"/>
        <w:rPr>
          <w:lang w:eastAsia="et-EE"/>
        </w:rPr>
      </w:pPr>
      <w:r>
        <w:t xml:space="preserve">11.1. </w:t>
      </w:r>
      <w:proofErr w:type="spellStart"/>
      <w:r>
        <w:t>Kaidia</w:t>
      </w:r>
      <w:proofErr w:type="spellEnd"/>
      <w:r>
        <w:t xml:space="preserve"> OÜ rakendab asjakohaseid tehnilisi ja organisatsioonilisi turvameetmeid, et kaitsta isikuandmeid loata juurdepääsu, avalikustamise, muutmise, hävimise ja kadumise eest.</w:t>
      </w:r>
    </w:p>
    <w:p w14:paraId="0EC54FCD" w14:textId="77777777" w:rsidR="009761E3" w:rsidRDefault="009761E3" w:rsidP="00D31ABB">
      <w:pPr>
        <w:jc w:val="both"/>
        <w:rPr>
          <w:lang w:eastAsia="et-EE"/>
        </w:rPr>
      </w:pPr>
      <w:r>
        <w:t>11.2. Juurdepääs isikuandmetele on üksnes neil isikutel, kellel on selleks tööülesannetest tulenev põhjendatud vajadus.</w:t>
      </w:r>
    </w:p>
    <w:p w14:paraId="5BE99870" w14:textId="77777777" w:rsidR="00182DD8" w:rsidRPr="00182DD8" w:rsidRDefault="00182DD8" w:rsidP="00D31ABB">
      <w:pPr>
        <w:jc w:val="both"/>
      </w:pPr>
      <w:r w:rsidRPr="00182DD8">
        <w:rPr>
          <w:b/>
          <w:bCs/>
        </w:rPr>
        <w:t>12. Privaatsuspoliitika muutmine</w:t>
      </w:r>
    </w:p>
    <w:p w14:paraId="7DB801AF" w14:textId="77777777" w:rsidR="00512632" w:rsidRDefault="00512632" w:rsidP="00D31ABB">
      <w:pPr>
        <w:jc w:val="both"/>
        <w:rPr>
          <w:lang w:eastAsia="et-EE"/>
        </w:rPr>
      </w:pPr>
      <w:r>
        <w:t xml:space="preserve">12.1. </w:t>
      </w:r>
      <w:proofErr w:type="spellStart"/>
      <w:r>
        <w:t>Kaidia</w:t>
      </w:r>
      <w:proofErr w:type="spellEnd"/>
      <w:r>
        <w:t xml:space="preserve"> OÜ-l on õigus privaatsuspoliitikat ajakohastada ja muuta, kui see on vajalik õigusaktide muudatuste, teenuste arengu või andmetöötluse korralduse muutumise tõttu.</w:t>
      </w:r>
    </w:p>
    <w:p w14:paraId="2755FE2B" w14:textId="77777777" w:rsidR="009761E3" w:rsidRDefault="009761E3" w:rsidP="00D31ABB">
      <w:pPr>
        <w:jc w:val="both"/>
        <w:rPr>
          <w:lang w:eastAsia="et-EE"/>
        </w:rPr>
      </w:pPr>
      <w:r>
        <w:t xml:space="preserve">12.2. Kehtiv privaatsuspoliitika on kättesaadav </w:t>
      </w:r>
      <w:proofErr w:type="spellStart"/>
      <w:r>
        <w:t>Kaidia</w:t>
      </w:r>
      <w:proofErr w:type="spellEnd"/>
      <w:r>
        <w:t xml:space="preserve"> OÜ veebilehel aadressil kaidia.ee.</w:t>
      </w:r>
    </w:p>
    <w:p w14:paraId="4728EF03" w14:textId="77777777" w:rsidR="00EB5F3B" w:rsidRDefault="00EB5F3B" w:rsidP="00D31ABB">
      <w:pPr>
        <w:jc w:val="both"/>
      </w:pPr>
    </w:p>
    <w:sectPr w:rsidR="00EB5F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4D7F" w14:textId="77777777" w:rsidR="007F5FD9" w:rsidRDefault="007F5FD9" w:rsidP="00B30987">
      <w:pPr>
        <w:spacing w:after="0" w:line="240" w:lineRule="auto"/>
      </w:pPr>
      <w:r>
        <w:separator/>
      </w:r>
    </w:p>
  </w:endnote>
  <w:endnote w:type="continuationSeparator" w:id="0">
    <w:p w14:paraId="070D4EEE" w14:textId="77777777" w:rsidR="007F5FD9" w:rsidRDefault="007F5FD9" w:rsidP="00B3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51213"/>
      <w:docPartObj>
        <w:docPartGallery w:val="Page Numbers (Bottom of Page)"/>
        <w:docPartUnique/>
      </w:docPartObj>
    </w:sdtPr>
    <w:sdtContent>
      <w:p w14:paraId="05DEFFDC" w14:textId="702DADF0" w:rsidR="00B30987" w:rsidRDefault="00B30987">
        <w:pPr>
          <w:pStyle w:val="Footer"/>
          <w:jc w:val="right"/>
        </w:pPr>
        <w:r>
          <w:fldChar w:fldCharType="begin"/>
        </w:r>
        <w:r>
          <w:instrText>PAGE   \* MERGEFORMAT</w:instrText>
        </w:r>
        <w:r>
          <w:fldChar w:fldCharType="separate"/>
        </w:r>
        <w:r>
          <w:t>2</w:t>
        </w:r>
        <w:r>
          <w:fldChar w:fldCharType="end"/>
        </w:r>
      </w:p>
    </w:sdtContent>
  </w:sdt>
  <w:p w14:paraId="6A0B0126" w14:textId="77777777" w:rsidR="00B30987" w:rsidRDefault="00B3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7C2B" w14:textId="77777777" w:rsidR="007F5FD9" w:rsidRDefault="007F5FD9" w:rsidP="00B30987">
      <w:pPr>
        <w:spacing w:after="0" w:line="240" w:lineRule="auto"/>
      </w:pPr>
      <w:r>
        <w:separator/>
      </w:r>
    </w:p>
  </w:footnote>
  <w:footnote w:type="continuationSeparator" w:id="0">
    <w:p w14:paraId="4399694E" w14:textId="77777777" w:rsidR="007F5FD9" w:rsidRDefault="007F5FD9" w:rsidP="00B30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E99"/>
    <w:multiLevelType w:val="multilevel"/>
    <w:tmpl w:val="7934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34349"/>
    <w:multiLevelType w:val="multilevel"/>
    <w:tmpl w:val="1FE8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32A51"/>
    <w:multiLevelType w:val="multilevel"/>
    <w:tmpl w:val="3522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A2A51"/>
    <w:multiLevelType w:val="multilevel"/>
    <w:tmpl w:val="3F4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819C0"/>
    <w:multiLevelType w:val="multilevel"/>
    <w:tmpl w:val="435C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5526"/>
    <w:multiLevelType w:val="multilevel"/>
    <w:tmpl w:val="B834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27A07"/>
    <w:multiLevelType w:val="multilevel"/>
    <w:tmpl w:val="7D7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60EA2"/>
    <w:multiLevelType w:val="multilevel"/>
    <w:tmpl w:val="2FA0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27FDD"/>
    <w:multiLevelType w:val="multilevel"/>
    <w:tmpl w:val="323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46406"/>
    <w:multiLevelType w:val="multilevel"/>
    <w:tmpl w:val="1B0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81F0A"/>
    <w:multiLevelType w:val="multilevel"/>
    <w:tmpl w:val="DFD8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F4653"/>
    <w:multiLevelType w:val="multilevel"/>
    <w:tmpl w:val="50C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35C0"/>
    <w:multiLevelType w:val="multilevel"/>
    <w:tmpl w:val="A33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70F1C"/>
    <w:multiLevelType w:val="multilevel"/>
    <w:tmpl w:val="A890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B0FA1"/>
    <w:multiLevelType w:val="multilevel"/>
    <w:tmpl w:val="99A4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5167B"/>
    <w:multiLevelType w:val="multilevel"/>
    <w:tmpl w:val="4F7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356DA"/>
    <w:multiLevelType w:val="multilevel"/>
    <w:tmpl w:val="5A6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71A14"/>
    <w:multiLevelType w:val="multilevel"/>
    <w:tmpl w:val="286A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A814A8"/>
    <w:multiLevelType w:val="multilevel"/>
    <w:tmpl w:val="4CCC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7717408">
    <w:abstractNumId w:val="10"/>
  </w:num>
  <w:num w:numId="2" w16cid:durableId="1655913590">
    <w:abstractNumId w:val="2"/>
  </w:num>
  <w:num w:numId="3" w16cid:durableId="1627006553">
    <w:abstractNumId w:val="11"/>
  </w:num>
  <w:num w:numId="4" w16cid:durableId="698966888">
    <w:abstractNumId w:val="16"/>
  </w:num>
  <w:num w:numId="5" w16cid:durableId="1607467264">
    <w:abstractNumId w:val="14"/>
  </w:num>
  <w:num w:numId="6" w16cid:durableId="1433166529">
    <w:abstractNumId w:val="0"/>
  </w:num>
  <w:num w:numId="7" w16cid:durableId="1491941891">
    <w:abstractNumId w:val="13"/>
  </w:num>
  <w:num w:numId="8" w16cid:durableId="296451170">
    <w:abstractNumId w:val="9"/>
  </w:num>
  <w:num w:numId="9" w16cid:durableId="1602688121">
    <w:abstractNumId w:val="6"/>
  </w:num>
  <w:num w:numId="10" w16cid:durableId="1829512966">
    <w:abstractNumId w:val="3"/>
  </w:num>
  <w:num w:numId="11" w16cid:durableId="920330667">
    <w:abstractNumId w:val="15"/>
  </w:num>
  <w:num w:numId="12" w16cid:durableId="409931248">
    <w:abstractNumId w:val="12"/>
  </w:num>
  <w:num w:numId="13" w16cid:durableId="1880706203">
    <w:abstractNumId w:val="1"/>
  </w:num>
  <w:num w:numId="14" w16cid:durableId="178081233">
    <w:abstractNumId w:val="7"/>
  </w:num>
  <w:num w:numId="15" w16cid:durableId="573665396">
    <w:abstractNumId w:val="18"/>
  </w:num>
  <w:num w:numId="16" w16cid:durableId="2028285686">
    <w:abstractNumId w:val="4"/>
  </w:num>
  <w:num w:numId="17" w16cid:durableId="1860852816">
    <w:abstractNumId w:val="5"/>
  </w:num>
  <w:num w:numId="18" w16cid:durableId="545917017">
    <w:abstractNumId w:val="17"/>
  </w:num>
  <w:num w:numId="19" w16cid:durableId="536891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D8"/>
    <w:rsid w:val="0000660A"/>
    <w:rsid w:val="00182DD8"/>
    <w:rsid w:val="00314300"/>
    <w:rsid w:val="00407A1D"/>
    <w:rsid w:val="004D3D38"/>
    <w:rsid w:val="0050650A"/>
    <w:rsid w:val="00512632"/>
    <w:rsid w:val="005B3C70"/>
    <w:rsid w:val="005D2958"/>
    <w:rsid w:val="007D2EA1"/>
    <w:rsid w:val="007F5FD9"/>
    <w:rsid w:val="008024F5"/>
    <w:rsid w:val="00824C85"/>
    <w:rsid w:val="009761E3"/>
    <w:rsid w:val="00A15945"/>
    <w:rsid w:val="00B30987"/>
    <w:rsid w:val="00B46489"/>
    <w:rsid w:val="00B75FA1"/>
    <w:rsid w:val="00BE3FA5"/>
    <w:rsid w:val="00C23E43"/>
    <w:rsid w:val="00D00A6E"/>
    <w:rsid w:val="00D02FAF"/>
    <w:rsid w:val="00D11108"/>
    <w:rsid w:val="00D313FF"/>
    <w:rsid w:val="00D31ABB"/>
    <w:rsid w:val="00D53223"/>
    <w:rsid w:val="00DA0EF9"/>
    <w:rsid w:val="00DA4F74"/>
    <w:rsid w:val="00EB5F3B"/>
    <w:rsid w:val="00F671E9"/>
    <w:rsid w:val="00FE6E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EADD"/>
  <w15:chartTrackingRefBased/>
  <w15:docId w15:val="{022F5DFB-2E1B-42BC-A9A2-3D0CBA73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DD8"/>
    <w:rPr>
      <w:rFonts w:eastAsiaTheme="majorEastAsia" w:cstheme="majorBidi"/>
      <w:color w:val="272727" w:themeColor="text1" w:themeTint="D8"/>
    </w:rPr>
  </w:style>
  <w:style w:type="paragraph" w:styleId="Title">
    <w:name w:val="Title"/>
    <w:basedOn w:val="Normal"/>
    <w:next w:val="Normal"/>
    <w:link w:val="TitleChar"/>
    <w:uiPriority w:val="10"/>
    <w:qFormat/>
    <w:rsid w:val="0018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DD8"/>
    <w:pPr>
      <w:spacing w:before="160"/>
      <w:jc w:val="center"/>
    </w:pPr>
    <w:rPr>
      <w:i/>
      <w:iCs/>
      <w:color w:val="404040" w:themeColor="text1" w:themeTint="BF"/>
    </w:rPr>
  </w:style>
  <w:style w:type="character" w:customStyle="1" w:styleId="QuoteChar">
    <w:name w:val="Quote Char"/>
    <w:basedOn w:val="DefaultParagraphFont"/>
    <w:link w:val="Quote"/>
    <w:uiPriority w:val="29"/>
    <w:rsid w:val="00182DD8"/>
    <w:rPr>
      <w:i/>
      <w:iCs/>
      <w:color w:val="404040" w:themeColor="text1" w:themeTint="BF"/>
    </w:rPr>
  </w:style>
  <w:style w:type="paragraph" w:styleId="ListParagraph">
    <w:name w:val="List Paragraph"/>
    <w:basedOn w:val="Normal"/>
    <w:uiPriority w:val="34"/>
    <w:qFormat/>
    <w:rsid w:val="00182DD8"/>
    <w:pPr>
      <w:ind w:left="720"/>
      <w:contextualSpacing/>
    </w:pPr>
  </w:style>
  <w:style w:type="character" w:styleId="IntenseEmphasis">
    <w:name w:val="Intense Emphasis"/>
    <w:basedOn w:val="DefaultParagraphFont"/>
    <w:uiPriority w:val="21"/>
    <w:qFormat/>
    <w:rsid w:val="00182DD8"/>
    <w:rPr>
      <w:i/>
      <w:iCs/>
      <w:color w:val="0F4761" w:themeColor="accent1" w:themeShade="BF"/>
    </w:rPr>
  </w:style>
  <w:style w:type="paragraph" w:styleId="IntenseQuote">
    <w:name w:val="Intense Quote"/>
    <w:basedOn w:val="Normal"/>
    <w:next w:val="Normal"/>
    <w:link w:val="IntenseQuoteChar"/>
    <w:uiPriority w:val="30"/>
    <w:qFormat/>
    <w:rsid w:val="0018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DD8"/>
    <w:rPr>
      <w:i/>
      <w:iCs/>
      <w:color w:val="0F4761" w:themeColor="accent1" w:themeShade="BF"/>
    </w:rPr>
  </w:style>
  <w:style w:type="character" w:styleId="IntenseReference">
    <w:name w:val="Intense Reference"/>
    <w:basedOn w:val="DefaultParagraphFont"/>
    <w:uiPriority w:val="32"/>
    <w:qFormat/>
    <w:rsid w:val="00182DD8"/>
    <w:rPr>
      <w:b/>
      <w:bCs/>
      <w:smallCaps/>
      <w:color w:val="0F4761" w:themeColor="accent1" w:themeShade="BF"/>
      <w:spacing w:val="5"/>
    </w:rPr>
  </w:style>
  <w:style w:type="character" w:styleId="Hyperlink">
    <w:name w:val="Hyperlink"/>
    <w:basedOn w:val="DefaultParagraphFont"/>
    <w:uiPriority w:val="99"/>
    <w:unhideWhenUsed/>
    <w:rsid w:val="00182DD8"/>
    <w:rPr>
      <w:color w:val="467886" w:themeColor="hyperlink"/>
      <w:u w:val="single"/>
    </w:rPr>
  </w:style>
  <w:style w:type="character" w:styleId="UnresolvedMention">
    <w:name w:val="Unresolved Mention"/>
    <w:basedOn w:val="DefaultParagraphFont"/>
    <w:uiPriority w:val="99"/>
    <w:semiHidden/>
    <w:unhideWhenUsed/>
    <w:rsid w:val="00182DD8"/>
    <w:rPr>
      <w:color w:val="605E5C"/>
      <w:shd w:val="clear" w:color="auto" w:fill="E1DFDD"/>
    </w:rPr>
  </w:style>
  <w:style w:type="paragraph" w:styleId="Header">
    <w:name w:val="header"/>
    <w:basedOn w:val="Normal"/>
    <w:link w:val="HeaderChar"/>
    <w:uiPriority w:val="99"/>
    <w:unhideWhenUsed/>
    <w:rsid w:val="00B30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987"/>
  </w:style>
  <w:style w:type="paragraph" w:styleId="Footer">
    <w:name w:val="footer"/>
    <w:basedOn w:val="Normal"/>
    <w:link w:val="FooterChar"/>
    <w:uiPriority w:val="99"/>
    <w:unhideWhenUsed/>
    <w:rsid w:val="00B30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idia.ee" TargetMode="External"/><Relationship Id="rId3" Type="http://schemas.openxmlformats.org/officeDocument/2006/relationships/settings" Target="settings.xml"/><Relationship Id="rId7" Type="http://schemas.openxmlformats.org/officeDocument/2006/relationships/hyperlink" Target="mailto:info@kaidi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5</Pages>
  <Words>1097</Words>
  <Characters>8550</Characters>
  <Application>Microsoft Office Word</Application>
  <DocSecurity>0</DocSecurity>
  <Lines>194</Lines>
  <Paragraphs>133</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Kägo</dc:creator>
  <cp:keywords/>
  <dc:description/>
  <cp:lastModifiedBy>Diana Kägo</cp:lastModifiedBy>
  <cp:revision>31</cp:revision>
  <dcterms:created xsi:type="dcterms:W3CDTF">2026-05-25T19:23:00Z</dcterms:created>
  <dcterms:modified xsi:type="dcterms:W3CDTF">2026-05-26T17:01:00Z</dcterms:modified>
</cp:coreProperties>
</file>